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Century Gothic" w:cs="Century Gothic" w:eastAsia="Century Gothic" w:hAnsi="Century Gothic"/>
          <w:b w:val="1"/>
          <w:color w:val="002060"/>
          <w:sz w:val="28"/>
          <w:szCs w:val="28"/>
        </w:rPr>
      </w:pPr>
      <w:r w:rsidDel="00000000" w:rsidR="00000000" w:rsidRPr="00000000">
        <w:rPr>
          <w:rFonts w:ascii="Century Gothic" w:cs="Century Gothic" w:eastAsia="Century Gothic" w:hAnsi="Century Gothic"/>
          <w:b w:val="1"/>
          <w:color w:val="002060"/>
          <w:sz w:val="28"/>
          <w:szCs w:val="28"/>
          <w:rtl w:val="0"/>
        </w:rPr>
        <w:t xml:space="preserve">¿Cómo evitar la escasez de talento humano? </w:t>
      </w:r>
    </w:p>
    <w:p w:rsidR="00000000" w:rsidDel="00000000" w:rsidP="00000000" w:rsidRDefault="00000000" w:rsidRPr="00000000" w14:paraId="00000002">
      <w:pPr>
        <w:spacing w:line="360" w:lineRule="auto"/>
        <w:jc w:val="center"/>
        <w:rPr>
          <w:rFonts w:ascii="Century Gothic" w:cs="Century Gothic" w:eastAsia="Century Gothic" w:hAnsi="Century Gothic"/>
          <w:b w:val="1"/>
          <w:color w:val="002060"/>
          <w:sz w:val="28"/>
          <w:szCs w:val="28"/>
        </w:rPr>
      </w:pPr>
      <w:r w:rsidDel="00000000" w:rsidR="00000000" w:rsidRPr="00000000">
        <w:rPr>
          <w:rFonts w:ascii="Century Gothic" w:cs="Century Gothic" w:eastAsia="Century Gothic" w:hAnsi="Century Gothic"/>
          <w:b w:val="1"/>
          <w:color w:val="002060"/>
          <w:sz w:val="28"/>
          <w:szCs w:val="28"/>
          <w:rtl w:val="0"/>
        </w:rPr>
        <w:t xml:space="preserve">La respuesta está en la estrategia de beneficios.</w:t>
      </w:r>
    </w:p>
    <w:p w:rsidR="00000000" w:rsidDel="00000000" w:rsidP="00000000" w:rsidRDefault="00000000" w:rsidRPr="00000000" w14:paraId="00000003">
      <w:pPr>
        <w:spacing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4">
      <w:pPr>
        <w:spacing w:line="360" w:lineRule="auto"/>
        <w:jc w:val="both"/>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b w:val="1"/>
          <w:sz w:val="19"/>
          <w:szCs w:val="19"/>
          <w:rtl w:val="0"/>
        </w:rPr>
        <w:t xml:space="preserve">Ciudad de México, 3 de noviembre de 2021.</w:t>
      </w:r>
      <w:r w:rsidDel="00000000" w:rsidR="00000000" w:rsidRPr="00000000">
        <w:rPr>
          <w:rFonts w:ascii="Century Gothic" w:cs="Century Gothic" w:eastAsia="Century Gothic" w:hAnsi="Century Gothic"/>
          <w:b w:val="1"/>
          <w:sz w:val="19"/>
          <w:szCs w:val="19"/>
          <w:rtl w:val="0"/>
        </w:rPr>
        <w:t xml:space="preserve"> </w:t>
      </w:r>
      <w:r w:rsidDel="00000000" w:rsidR="00000000" w:rsidRPr="00000000">
        <w:rPr>
          <w:rFonts w:ascii="Century Gothic" w:cs="Century Gothic" w:eastAsia="Century Gothic" w:hAnsi="Century Gothic"/>
          <w:sz w:val="19"/>
          <w:szCs w:val="19"/>
          <w:rtl w:val="0"/>
        </w:rPr>
        <w:t xml:space="preserve">¿Qué está pasando con el talento humano de la actualidad? Las tendencias en recursos humanos (contratación y retención de personal) han dado un giro importante en sus modelos de operación, y así también lo está haciendo el propio capital humano.</w:t>
      </w:r>
    </w:p>
    <w:p w:rsidR="00000000" w:rsidDel="00000000" w:rsidP="00000000" w:rsidRDefault="00000000" w:rsidRPr="00000000" w14:paraId="00000005">
      <w:pPr>
        <w:spacing w:line="360" w:lineRule="auto"/>
        <w:jc w:val="both"/>
        <w:rPr>
          <w:rFonts w:ascii="Century Gothic" w:cs="Century Gothic" w:eastAsia="Century Gothic" w:hAnsi="Century Gothic"/>
          <w:sz w:val="19"/>
          <w:szCs w:val="19"/>
        </w:rPr>
      </w:pPr>
      <w:r w:rsidDel="00000000" w:rsidR="00000000" w:rsidRPr="00000000">
        <w:rPr>
          <w:rtl w:val="0"/>
        </w:rPr>
      </w:r>
    </w:p>
    <w:p w:rsidR="00000000" w:rsidDel="00000000" w:rsidP="00000000" w:rsidRDefault="00000000" w:rsidRPr="00000000" w14:paraId="00000006">
      <w:pPr>
        <w:spacing w:line="360" w:lineRule="auto"/>
        <w:jc w:val="both"/>
        <w:rPr>
          <w:rFonts w:ascii="Century Gothic" w:cs="Century Gothic" w:eastAsia="Century Gothic" w:hAnsi="Century Gothic"/>
          <w:sz w:val="19"/>
          <w:szCs w:val="19"/>
          <w:highlight w:val="white"/>
        </w:rPr>
      </w:pPr>
      <w:r w:rsidDel="00000000" w:rsidR="00000000" w:rsidRPr="00000000">
        <w:rPr>
          <w:rFonts w:ascii="Century Gothic" w:cs="Century Gothic" w:eastAsia="Century Gothic" w:hAnsi="Century Gothic"/>
          <w:sz w:val="19"/>
          <w:szCs w:val="19"/>
          <w:highlight w:val="white"/>
          <w:rtl w:val="0"/>
        </w:rPr>
        <w:t xml:space="preserve">El grupo especializado en colocación de talento humano ManPower reveló en un estudio que, en 2019, el 54% de las compañías en todo el mundo reportó escasez de talento, cuando hace diez años se contabilizaba únicamente un 30%. Este aumento de casi el doble en la falta de personal hace surgir dudas sobre la gestión y el comportamiento de los aspirantes, siendo la siguiente pregunta una de las más importantes: ¿Qué necesitan y qué están buscando los aspirantes al momento de entrar a una empresa?</w:t>
      </w:r>
    </w:p>
    <w:p w:rsidR="00000000" w:rsidDel="00000000" w:rsidP="00000000" w:rsidRDefault="00000000" w:rsidRPr="00000000" w14:paraId="00000007">
      <w:pPr>
        <w:spacing w:line="360" w:lineRule="auto"/>
        <w:jc w:val="both"/>
        <w:rPr>
          <w:rFonts w:ascii="Century Gothic" w:cs="Century Gothic" w:eastAsia="Century Gothic" w:hAnsi="Century Gothic"/>
          <w:sz w:val="19"/>
          <w:szCs w:val="19"/>
          <w:highlight w:val="white"/>
        </w:rPr>
      </w:pPr>
      <w:r w:rsidDel="00000000" w:rsidR="00000000" w:rsidRPr="00000000">
        <w:rPr>
          <w:rtl w:val="0"/>
        </w:rPr>
      </w:r>
    </w:p>
    <w:p w:rsidR="00000000" w:rsidDel="00000000" w:rsidP="00000000" w:rsidRDefault="00000000" w:rsidRPr="00000000" w14:paraId="00000008">
      <w:pPr>
        <w:spacing w:line="360" w:lineRule="auto"/>
        <w:jc w:val="both"/>
        <w:rPr>
          <w:rFonts w:ascii="Century Gothic" w:cs="Century Gothic" w:eastAsia="Century Gothic" w:hAnsi="Century Gothic"/>
          <w:sz w:val="19"/>
          <w:szCs w:val="19"/>
          <w:highlight w:val="white"/>
        </w:rPr>
      </w:pPr>
      <w:r w:rsidDel="00000000" w:rsidR="00000000" w:rsidRPr="00000000">
        <w:rPr>
          <w:rFonts w:ascii="Century Gothic" w:cs="Century Gothic" w:eastAsia="Century Gothic" w:hAnsi="Century Gothic"/>
          <w:sz w:val="19"/>
          <w:szCs w:val="19"/>
          <w:highlight w:val="white"/>
          <w:rtl w:val="0"/>
        </w:rPr>
        <w:t xml:space="preserve">El estudio profundiza en las preferencias y comportamientos de las distintas generaciones: mientras que los </w:t>
      </w:r>
      <w:r w:rsidDel="00000000" w:rsidR="00000000" w:rsidRPr="00000000">
        <w:rPr>
          <w:rFonts w:ascii="Century Gothic" w:cs="Century Gothic" w:eastAsia="Century Gothic" w:hAnsi="Century Gothic"/>
          <w:i w:val="1"/>
          <w:sz w:val="19"/>
          <w:szCs w:val="19"/>
          <w:highlight w:val="white"/>
          <w:rtl w:val="0"/>
        </w:rPr>
        <w:t xml:space="preserve">Boomers </w:t>
      </w:r>
      <w:r w:rsidDel="00000000" w:rsidR="00000000" w:rsidRPr="00000000">
        <w:rPr>
          <w:rFonts w:ascii="Century Gothic" w:cs="Century Gothic" w:eastAsia="Century Gothic" w:hAnsi="Century Gothic"/>
          <w:sz w:val="19"/>
          <w:szCs w:val="19"/>
          <w:highlight w:val="white"/>
          <w:rtl w:val="0"/>
        </w:rPr>
        <w:t xml:space="preserve">(55 a 65+) están más interesados en su crecimiento como individuos antes que como empleados, los </w:t>
      </w:r>
      <w:r w:rsidDel="00000000" w:rsidR="00000000" w:rsidRPr="00000000">
        <w:rPr>
          <w:rFonts w:ascii="Century Gothic" w:cs="Century Gothic" w:eastAsia="Century Gothic" w:hAnsi="Century Gothic"/>
          <w:i w:val="1"/>
          <w:sz w:val="19"/>
          <w:szCs w:val="19"/>
          <w:highlight w:val="white"/>
          <w:rtl w:val="0"/>
        </w:rPr>
        <w:t xml:space="preserve">Millennials</w:t>
      </w:r>
      <w:r w:rsidDel="00000000" w:rsidR="00000000" w:rsidRPr="00000000">
        <w:rPr>
          <w:rFonts w:ascii="Century Gothic" w:cs="Century Gothic" w:eastAsia="Century Gothic" w:hAnsi="Century Gothic"/>
          <w:sz w:val="19"/>
          <w:szCs w:val="19"/>
          <w:highlight w:val="white"/>
          <w:rtl w:val="0"/>
        </w:rPr>
        <w:t xml:space="preserve"> (25 a 34) prefieren los retos, experiencias y flexibilidad de tiempos en sus entornos de trabajo; por otro lado, la </w:t>
      </w:r>
      <w:r w:rsidDel="00000000" w:rsidR="00000000" w:rsidRPr="00000000">
        <w:rPr>
          <w:rFonts w:ascii="Century Gothic" w:cs="Century Gothic" w:eastAsia="Century Gothic" w:hAnsi="Century Gothic"/>
          <w:i w:val="1"/>
          <w:sz w:val="19"/>
          <w:szCs w:val="19"/>
          <w:highlight w:val="white"/>
          <w:rtl w:val="0"/>
        </w:rPr>
        <w:t xml:space="preserve">Gen Z </w:t>
      </w:r>
      <w:r w:rsidDel="00000000" w:rsidR="00000000" w:rsidRPr="00000000">
        <w:rPr>
          <w:rFonts w:ascii="Century Gothic" w:cs="Century Gothic" w:eastAsia="Century Gothic" w:hAnsi="Century Gothic"/>
          <w:sz w:val="19"/>
          <w:szCs w:val="19"/>
          <w:highlight w:val="white"/>
          <w:rtl w:val="0"/>
        </w:rPr>
        <w:t xml:space="preserve">(18 a 24) pone por enfrente las ganancias monetarias y el desarrollo profesional. </w:t>
      </w:r>
    </w:p>
    <w:p w:rsidR="00000000" w:rsidDel="00000000" w:rsidP="00000000" w:rsidRDefault="00000000" w:rsidRPr="00000000" w14:paraId="00000009">
      <w:pPr>
        <w:spacing w:line="360" w:lineRule="auto"/>
        <w:jc w:val="both"/>
        <w:rPr>
          <w:rFonts w:ascii="Century Gothic" w:cs="Century Gothic" w:eastAsia="Century Gothic" w:hAnsi="Century Gothic"/>
          <w:sz w:val="19"/>
          <w:szCs w:val="19"/>
          <w:highlight w:val="white"/>
        </w:rPr>
      </w:pPr>
      <w:r w:rsidDel="00000000" w:rsidR="00000000" w:rsidRPr="00000000">
        <w:rPr>
          <w:rtl w:val="0"/>
        </w:rPr>
      </w:r>
    </w:p>
    <w:p w:rsidR="00000000" w:rsidDel="00000000" w:rsidP="00000000" w:rsidRDefault="00000000" w:rsidRPr="00000000" w14:paraId="0000000A">
      <w:pPr>
        <w:spacing w:line="360" w:lineRule="auto"/>
        <w:jc w:val="both"/>
        <w:rPr>
          <w:rFonts w:ascii="Century Gothic" w:cs="Century Gothic" w:eastAsia="Century Gothic" w:hAnsi="Century Gothic"/>
          <w:b w:val="1"/>
          <w:sz w:val="19"/>
          <w:szCs w:val="19"/>
        </w:rPr>
      </w:pPr>
      <w:r w:rsidDel="00000000" w:rsidR="00000000" w:rsidRPr="00000000">
        <w:rPr>
          <w:rFonts w:ascii="Century Gothic" w:cs="Century Gothic" w:eastAsia="Century Gothic" w:hAnsi="Century Gothic"/>
          <w:sz w:val="19"/>
          <w:szCs w:val="19"/>
          <w:highlight w:val="white"/>
          <w:rtl w:val="0"/>
        </w:rPr>
        <w:t xml:space="preserve">“</w:t>
      </w:r>
      <w:r w:rsidDel="00000000" w:rsidR="00000000" w:rsidRPr="00000000">
        <w:rPr>
          <w:rFonts w:ascii="Century Gothic" w:cs="Century Gothic" w:eastAsia="Century Gothic" w:hAnsi="Century Gothic"/>
          <w:i w:val="1"/>
          <w:sz w:val="19"/>
          <w:szCs w:val="19"/>
          <w:highlight w:val="white"/>
          <w:rtl w:val="0"/>
        </w:rPr>
        <w:t xml:space="preserve">Frente a esto, y sumando la situación de</w:t>
      </w:r>
      <w:r w:rsidDel="00000000" w:rsidR="00000000" w:rsidRPr="00000000">
        <w:rPr>
          <w:rFonts w:ascii="Century Gothic" w:cs="Century Gothic" w:eastAsia="Century Gothic" w:hAnsi="Century Gothic"/>
          <w:i w:val="1"/>
          <w:sz w:val="19"/>
          <w:szCs w:val="19"/>
          <w:rtl w:val="0"/>
        </w:rPr>
        <w:t xml:space="preserve"> la contingencia sanitaria, las empresas han adaptado sus modelos laborales a ofertas que permitan asegurar una estabilidad personal, garantizar el bienestar físico y mental de los equipos de trabajo, así como impulsar una nueva cultura organizacional que mantenga un modelo de trabajo remoto, de forma que el enfoque esté en añadir beneficios para los empleados”, </w:t>
      </w:r>
      <w:r w:rsidDel="00000000" w:rsidR="00000000" w:rsidRPr="00000000">
        <w:rPr>
          <w:rFonts w:ascii="Century Gothic" w:cs="Century Gothic" w:eastAsia="Century Gothic" w:hAnsi="Century Gothic"/>
          <w:sz w:val="19"/>
          <w:szCs w:val="19"/>
          <w:rtl w:val="0"/>
        </w:rPr>
        <w:t xml:space="preserve">apunta </w:t>
      </w:r>
      <w:r w:rsidDel="00000000" w:rsidR="00000000" w:rsidRPr="00000000">
        <w:rPr>
          <w:rFonts w:ascii="Century Gothic" w:cs="Century Gothic" w:eastAsia="Century Gothic" w:hAnsi="Century Gothic"/>
          <w:b w:val="1"/>
          <w:sz w:val="19"/>
          <w:szCs w:val="19"/>
          <w:rtl w:val="0"/>
        </w:rPr>
        <w:t xml:space="preserve">Frank Brunet, director de la unidad Benefits en Edenred México.</w:t>
      </w:r>
    </w:p>
    <w:p w:rsidR="00000000" w:rsidDel="00000000" w:rsidP="00000000" w:rsidRDefault="00000000" w:rsidRPr="00000000" w14:paraId="0000000B">
      <w:pPr>
        <w:spacing w:line="360" w:lineRule="auto"/>
        <w:jc w:val="both"/>
        <w:rPr>
          <w:rFonts w:ascii="Century Gothic" w:cs="Century Gothic" w:eastAsia="Century Gothic" w:hAnsi="Century Gothic"/>
          <w:sz w:val="19"/>
          <w:szCs w:val="19"/>
        </w:rPr>
      </w:pPr>
      <w:r w:rsidDel="00000000" w:rsidR="00000000" w:rsidRPr="00000000">
        <w:rPr>
          <w:rtl w:val="0"/>
        </w:rPr>
      </w:r>
    </w:p>
    <w:p w:rsidR="00000000" w:rsidDel="00000000" w:rsidP="00000000" w:rsidRDefault="00000000" w:rsidRPr="00000000" w14:paraId="0000000C">
      <w:pPr>
        <w:spacing w:line="360" w:lineRule="auto"/>
        <w:jc w:val="both"/>
        <w:rPr>
          <w:rFonts w:ascii="Century Gothic" w:cs="Century Gothic" w:eastAsia="Century Gothic" w:hAnsi="Century Gothic"/>
          <w:b w:val="1"/>
          <w:i w:val="1"/>
          <w:sz w:val="23"/>
          <w:szCs w:val="23"/>
        </w:rPr>
      </w:pPr>
      <w:r w:rsidDel="00000000" w:rsidR="00000000" w:rsidRPr="00000000">
        <w:rPr>
          <w:rFonts w:ascii="Century Gothic" w:cs="Century Gothic" w:eastAsia="Century Gothic" w:hAnsi="Century Gothic"/>
          <w:b w:val="1"/>
          <w:i w:val="1"/>
          <w:sz w:val="23"/>
          <w:szCs w:val="23"/>
          <w:rtl w:val="0"/>
        </w:rPr>
        <w:t xml:space="preserve">Mejores programas de beneficios, mejor talento humano</w:t>
      </w:r>
    </w:p>
    <w:p w:rsidR="00000000" w:rsidDel="00000000" w:rsidP="00000000" w:rsidRDefault="00000000" w:rsidRPr="00000000" w14:paraId="0000000D">
      <w:pPr>
        <w:spacing w:line="360" w:lineRule="auto"/>
        <w:jc w:val="both"/>
        <w:rPr>
          <w:rFonts w:ascii="Century Gothic" w:cs="Century Gothic" w:eastAsia="Century Gothic" w:hAnsi="Century Gothic"/>
          <w:b w:val="1"/>
          <w:i w:val="1"/>
          <w:sz w:val="19"/>
          <w:szCs w:val="19"/>
        </w:rPr>
      </w:pPr>
      <w:r w:rsidDel="00000000" w:rsidR="00000000" w:rsidRPr="00000000">
        <w:rPr>
          <w:rtl w:val="0"/>
        </w:rPr>
      </w:r>
    </w:p>
    <w:p w:rsidR="00000000" w:rsidDel="00000000" w:rsidP="00000000" w:rsidRDefault="00000000" w:rsidRPr="00000000" w14:paraId="0000000E">
      <w:pPr>
        <w:spacing w:line="360" w:lineRule="auto"/>
        <w:jc w:val="both"/>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El pago siempre es fundamental, pero las maneras de hacerlo lo vuelven más atractivo para los trabajadores. Es aquí donde entran las iniciativas empresariales para brindar y mejorar las formas de compensación más allá del salario. A continuación, te presentamos algunas: </w:t>
      </w:r>
    </w:p>
    <w:p w:rsidR="00000000" w:rsidDel="00000000" w:rsidP="00000000" w:rsidRDefault="00000000" w:rsidRPr="00000000" w14:paraId="0000000F">
      <w:pPr>
        <w:spacing w:line="360" w:lineRule="auto"/>
        <w:jc w:val="both"/>
        <w:rPr>
          <w:rFonts w:ascii="Century Gothic" w:cs="Century Gothic" w:eastAsia="Century Gothic" w:hAnsi="Century Gothic"/>
          <w:sz w:val="19"/>
          <w:szCs w:val="19"/>
        </w:rPr>
      </w:pPr>
      <w:r w:rsidDel="00000000" w:rsidR="00000000" w:rsidRPr="00000000">
        <w:rPr>
          <w:rtl w:val="0"/>
        </w:rPr>
      </w:r>
    </w:p>
    <w:p w:rsidR="00000000" w:rsidDel="00000000" w:rsidP="00000000" w:rsidRDefault="00000000" w:rsidRPr="00000000" w14:paraId="00000010">
      <w:pPr>
        <w:numPr>
          <w:ilvl w:val="0"/>
          <w:numId w:val="1"/>
        </w:numPr>
        <w:spacing w:line="360" w:lineRule="auto"/>
        <w:ind w:left="720" w:hanging="360"/>
        <w:jc w:val="both"/>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b w:val="1"/>
          <w:sz w:val="19"/>
          <w:szCs w:val="19"/>
          <w:rtl w:val="0"/>
        </w:rPr>
        <w:t xml:space="preserve">Vales de despensa:</w:t>
      </w:r>
      <w:r w:rsidDel="00000000" w:rsidR="00000000" w:rsidRPr="00000000">
        <w:rPr>
          <w:rFonts w:ascii="Century Gothic" w:cs="Century Gothic" w:eastAsia="Century Gothic" w:hAnsi="Century Gothic"/>
          <w:sz w:val="19"/>
          <w:szCs w:val="19"/>
          <w:rtl w:val="0"/>
        </w:rPr>
        <w:t xml:space="preserve"> monederos electrónicos con chip anticlonación, con los cuales es posible comprar bienes que mejoren la calidad de vida de los empleados y la de sus familias en miles de establecimientos a nivel nacional; aún en trabajo remoto, pueden ser usados por medio de envíos por aplicación.</w:t>
      </w:r>
    </w:p>
    <w:p w:rsidR="00000000" w:rsidDel="00000000" w:rsidP="00000000" w:rsidRDefault="00000000" w:rsidRPr="00000000" w14:paraId="00000011">
      <w:pPr>
        <w:numPr>
          <w:ilvl w:val="0"/>
          <w:numId w:val="1"/>
        </w:numPr>
        <w:spacing w:line="360" w:lineRule="auto"/>
        <w:ind w:left="720" w:hanging="360"/>
        <w:jc w:val="both"/>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b w:val="1"/>
          <w:sz w:val="19"/>
          <w:szCs w:val="19"/>
          <w:rtl w:val="0"/>
        </w:rPr>
        <w:t xml:space="preserve">Restaurante:</w:t>
      </w:r>
      <w:r w:rsidDel="00000000" w:rsidR="00000000" w:rsidRPr="00000000">
        <w:rPr>
          <w:rFonts w:ascii="Century Gothic" w:cs="Century Gothic" w:eastAsia="Century Gothic" w:hAnsi="Century Gothic"/>
          <w:sz w:val="19"/>
          <w:szCs w:val="19"/>
          <w:rtl w:val="0"/>
        </w:rPr>
        <w:t xml:space="preserve"> sirve como un apoyo para la alimentación diaria de los empleados y fomenta una buena alimentación para incrementar la productividad en los colaboradores. </w:t>
      </w:r>
    </w:p>
    <w:p w:rsidR="00000000" w:rsidDel="00000000" w:rsidP="00000000" w:rsidRDefault="00000000" w:rsidRPr="00000000" w14:paraId="00000012">
      <w:pPr>
        <w:numPr>
          <w:ilvl w:val="0"/>
          <w:numId w:val="1"/>
        </w:numPr>
        <w:spacing w:line="360" w:lineRule="auto"/>
        <w:ind w:left="720" w:hanging="360"/>
        <w:jc w:val="both"/>
        <w:rPr>
          <w:rFonts w:ascii="Century Gothic" w:cs="Century Gothic" w:eastAsia="Century Gothic" w:hAnsi="Century Gothic"/>
          <w:b w:val="1"/>
          <w:sz w:val="19"/>
          <w:szCs w:val="19"/>
        </w:rPr>
      </w:pPr>
      <w:r w:rsidDel="00000000" w:rsidR="00000000" w:rsidRPr="00000000">
        <w:rPr>
          <w:rFonts w:ascii="Century Gothic" w:cs="Century Gothic" w:eastAsia="Century Gothic" w:hAnsi="Century Gothic"/>
          <w:b w:val="1"/>
          <w:sz w:val="19"/>
          <w:szCs w:val="19"/>
          <w:rtl w:val="0"/>
        </w:rPr>
        <w:t xml:space="preserve">Regalo:</w:t>
      </w:r>
      <w:r w:rsidDel="00000000" w:rsidR="00000000" w:rsidRPr="00000000">
        <w:rPr>
          <w:rFonts w:ascii="Century Gothic" w:cs="Century Gothic" w:eastAsia="Century Gothic" w:hAnsi="Century Gothic"/>
          <w:sz w:val="19"/>
          <w:szCs w:val="19"/>
          <w:rtl w:val="0"/>
        </w:rPr>
        <w:t xml:space="preserve"> incentivos para los colaboradores, clientes o proveedores con el fin de realizar compras en múltiples establecimientos, como tiendas departamentales y restaurantes, entre otros. De igual forma, pueden ser ocupados como premio por productividad, puntualidad, cumplimiento de objetivos y fechas importantes. </w:t>
      </w:r>
      <w:r w:rsidDel="00000000" w:rsidR="00000000" w:rsidRPr="00000000">
        <w:rPr>
          <w:rtl w:val="0"/>
        </w:rPr>
      </w:r>
    </w:p>
    <w:p w:rsidR="00000000" w:rsidDel="00000000" w:rsidP="00000000" w:rsidRDefault="00000000" w:rsidRPr="00000000" w14:paraId="00000013">
      <w:pPr>
        <w:numPr>
          <w:ilvl w:val="0"/>
          <w:numId w:val="1"/>
        </w:numPr>
        <w:spacing w:line="360" w:lineRule="auto"/>
        <w:ind w:left="720" w:hanging="360"/>
        <w:jc w:val="both"/>
        <w:rPr>
          <w:rFonts w:ascii="Century Gothic" w:cs="Century Gothic" w:eastAsia="Century Gothic" w:hAnsi="Century Gothic"/>
          <w:b w:val="1"/>
          <w:sz w:val="19"/>
          <w:szCs w:val="19"/>
        </w:rPr>
      </w:pPr>
      <w:r w:rsidDel="00000000" w:rsidR="00000000" w:rsidRPr="00000000">
        <w:rPr>
          <w:rFonts w:ascii="Century Gothic" w:cs="Century Gothic" w:eastAsia="Century Gothic" w:hAnsi="Century Gothic"/>
          <w:b w:val="1"/>
          <w:sz w:val="19"/>
          <w:szCs w:val="19"/>
          <w:rtl w:val="0"/>
        </w:rPr>
        <w:t xml:space="preserve">Vestimenta: </w:t>
      </w:r>
      <w:r w:rsidDel="00000000" w:rsidR="00000000" w:rsidRPr="00000000">
        <w:rPr>
          <w:rFonts w:ascii="Century Gothic" w:cs="Century Gothic" w:eastAsia="Century Gothic" w:hAnsi="Century Gothic"/>
          <w:sz w:val="19"/>
          <w:szCs w:val="19"/>
          <w:rtl w:val="0"/>
        </w:rPr>
        <w:t xml:space="preserve">apoyo para la compra de ropa, calzado y accesorios de acuerdo a la</w:t>
      </w:r>
      <w:r w:rsidDel="00000000" w:rsidR="00000000" w:rsidRPr="00000000">
        <w:rPr>
          <w:rtl w:val="0"/>
        </w:rPr>
      </w:r>
    </w:p>
    <w:p w:rsidR="00000000" w:rsidDel="00000000" w:rsidP="00000000" w:rsidRDefault="00000000" w:rsidRPr="00000000" w14:paraId="00000014">
      <w:pPr>
        <w:numPr>
          <w:ilvl w:val="0"/>
          <w:numId w:val="1"/>
        </w:numPr>
        <w:spacing w:line="360" w:lineRule="auto"/>
        <w:ind w:left="720" w:hanging="360"/>
        <w:jc w:val="both"/>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política de vestimenta de tu empresa.  </w:t>
      </w:r>
    </w:p>
    <w:p w:rsidR="00000000" w:rsidDel="00000000" w:rsidP="00000000" w:rsidRDefault="00000000" w:rsidRPr="00000000" w14:paraId="00000015">
      <w:pPr>
        <w:numPr>
          <w:ilvl w:val="0"/>
          <w:numId w:val="1"/>
        </w:numPr>
        <w:spacing w:line="360" w:lineRule="auto"/>
        <w:ind w:left="720" w:hanging="360"/>
        <w:jc w:val="both"/>
        <w:rPr>
          <w:rFonts w:ascii="Century Gothic" w:cs="Century Gothic" w:eastAsia="Century Gothic" w:hAnsi="Century Gothic"/>
          <w:b w:val="1"/>
          <w:sz w:val="19"/>
          <w:szCs w:val="19"/>
        </w:rPr>
      </w:pPr>
      <w:r w:rsidDel="00000000" w:rsidR="00000000" w:rsidRPr="00000000">
        <w:rPr>
          <w:rFonts w:ascii="Century Gothic" w:cs="Century Gothic" w:eastAsia="Century Gothic" w:hAnsi="Century Gothic"/>
          <w:b w:val="1"/>
          <w:sz w:val="19"/>
          <w:szCs w:val="19"/>
          <w:rtl w:val="0"/>
        </w:rPr>
        <w:t xml:space="preserve">Teletrabajo: </w:t>
      </w:r>
      <w:r w:rsidDel="00000000" w:rsidR="00000000" w:rsidRPr="00000000">
        <w:rPr>
          <w:rFonts w:ascii="Century Gothic" w:cs="Century Gothic" w:eastAsia="Century Gothic" w:hAnsi="Century Gothic"/>
          <w:sz w:val="19"/>
          <w:szCs w:val="19"/>
          <w:rtl w:val="0"/>
        </w:rPr>
        <w:t xml:space="preserve">solución con la que puedes otorgar a los colaboradores que desempeñan sus actividades desde casa de acuerdo a la nueva Ley de Teletrabajo. Con ella podrán pagar servicios como luz e internet y comprar insumos de oficina, a manera de </w:t>
      </w:r>
      <w:r w:rsidDel="00000000" w:rsidR="00000000" w:rsidRPr="00000000">
        <w:rPr>
          <w:rFonts w:ascii="Century Gothic" w:cs="Century Gothic" w:eastAsia="Century Gothic" w:hAnsi="Century Gothic"/>
          <w:i w:val="1"/>
          <w:sz w:val="19"/>
          <w:szCs w:val="19"/>
          <w:rtl w:val="0"/>
        </w:rPr>
        <w:t xml:space="preserve">profesionalizar</w:t>
      </w:r>
      <w:r w:rsidDel="00000000" w:rsidR="00000000" w:rsidRPr="00000000">
        <w:rPr>
          <w:rFonts w:ascii="Century Gothic" w:cs="Century Gothic" w:eastAsia="Century Gothic" w:hAnsi="Century Gothic"/>
          <w:sz w:val="19"/>
          <w:szCs w:val="19"/>
          <w:rtl w:val="0"/>
        </w:rPr>
        <w:t xml:space="preserve"> su espacio de trabajo remoto.</w:t>
      </w:r>
      <w:r w:rsidDel="00000000" w:rsidR="00000000" w:rsidRPr="00000000">
        <w:rPr>
          <w:rtl w:val="0"/>
        </w:rPr>
      </w:r>
    </w:p>
    <w:p w:rsidR="00000000" w:rsidDel="00000000" w:rsidP="00000000" w:rsidRDefault="00000000" w:rsidRPr="00000000" w14:paraId="00000016">
      <w:pPr>
        <w:spacing w:line="360" w:lineRule="auto"/>
        <w:jc w:val="both"/>
        <w:rPr>
          <w:rFonts w:ascii="Century Gothic" w:cs="Century Gothic" w:eastAsia="Century Gothic" w:hAnsi="Century Gothic"/>
          <w:sz w:val="19"/>
          <w:szCs w:val="19"/>
        </w:rPr>
      </w:pPr>
      <w:r w:rsidDel="00000000" w:rsidR="00000000" w:rsidRPr="00000000">
        <w:rPr>
          <w:rtl w:val="0"/>
        </w:rPr>
      </w:r>
    </w:p>
    <w:p w:rsidR="00000000" w:rsidDel="00000000" w:rsidP="00000000" w:rsidRDefault="00000000" w:rsidRPr="00000000" w14:paraId="00000017">
      <w:pPr>
        <w:spacing w:line="360" w:lineRule="auto"/>
        <w:jc w:val="both"/>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Derivado de la pandemia, algunas empresas tuvieron reducciones de sueldos y cambios en las compensaciones que generaron un desequilibrio social y económico:</w:t>
      </w:r>
      <w:r w:rsidDel="00000000" w:rsidR="00000000" w:rsidRPr="00000000">
        <w:rPr>
          <w:rFonts w:ascii="Century Gothic" w:cs="Century Gothic" w:eastAsia="Century Gothic" w:hAnsi="Century Gothic"/>
          <w:i w:val="1"/>
          <w:sz w:val="19"/>
          <w:szCs w:val="19"/>
          <w:rtl w:val="0"/>
        </w:rPr>
        <w:t xml:space="preserve"> “Ciertas compañías dejaron de dar despensas, pero también hubo otras que apoyaron con un incremento en los vales de despensa, o bien, realizaron pedidos adicionales para entregar a sus colaboradores. Ante la alta rotación de talento humano nos percatamos de que los vales de despensa son una prestación muy socorrida, pues culturalmente es muy fuerte. Hoy están tomando mayor sentido para reclutar y retener personal”, </w:t>
      </w:r>
      <w:r w:rsidDel="00000000" w:rsidR="00000000" w:rsidRPr="00000000">
        <w:rPr>
          <w:rFonts w:ascii="Century Gothic" w:cs="Century Gothic" w:eastAsia="Century Gothic" w:hAnsi="Century Gothic"/>
          <w:sz w:val="19"/>
          <w:szCs w:val="19"/>
          <w:rtl w:val="0"/>
        </w:rPr>
        <w:t xml:space="preserve">comentó </w:t>
      </w:r>
      <w:r w:rsidDel="00000000" w:rsidR="00000000" w:rsidRPr="00000000">
        <w:rPr>
          <w:rFonts w:ascii="Century Gothic" w:cs="Century Gothic" w:eastAsia="Century Gothic" w:hAnsi="Century Gothic"/>
          <w:b w:val="1"/>
          <w:sz w:val="19"/>
          <w:szCs w:val="19"/>
          <w:rtl w:val="0"/>
        </w:rPr>
        <w:t xml:space="preserve">Juan Carlos Mendoza, Gerente Nacional Comercial de la unidad Benefits de Edenred.  </w:t>
        <w:br w:type="textWrapping"/>
      </w:r>
      <w:r w:rsidDel="00000000" w:rsidR="00000000" w:rsidRPr="00000000">
        <w:rPr>
          <w:rtl w:val="0"/>
        </w:rPr>
      </w:r>
    </w:p>
    <w:p w:rsidR="00000000" w:rsidDel="00000000" w:rsidP="00000000" w:rsidRDefault="00000000" w:rsidRPr="00000000" w14:paraId="00000018">
      <w:pPr>
        <w:spacing w:line="360" w:lineRule="auto"/>
        <w:jc w:val="both"/>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En esta nueva normalidad, Edenred ha transformado su oferta de prestaciones para empleados en diversas modalidades, desde despensa (que representa el 94% de la unidad de negocio), hasta restaurante, regalo, y vestimenta.</w:t>
      </w:r>
    </w:p>
    <w:p w:rsidR="00000000" w:rsidDel="00000000" w:rsidP="00000000" w:rsidRDefault="00000000" w:rsidRPr="00000000" w14:paraId="00000019">
      <w:pPr>
        <w:spacing w:line="360" w:lineRule="auto"/>
        <w:jc w:val="both"/>
        <w:rPr>
          <w:rFonts w:ascii="Century Gothic" w:cs="Century Gothic" w:eastAsia="Century Gothic" w:hAnsi="Century Gothic"/>
          <w:sz w:val="19"/>
          <w:szCs w:val="19"/>
        </w:rPr>
      </w:pPr>
      <w:r w:rsidDel="00000000" w:rsidR="00000000" w:rsidRPr="00000000">
        <w:rPr>
          <w:rtl w:val="0"/>
        </w:rPr>
      </w:r>
    </w:p>
    <w:p w:rsidR="00000000" w:rsidDel="00000000" w:rsidP="00000000" w:rsidRDefault="00000000" w:rsidRPr="00000000" w14:paraId="0000001A">
      <w:pPr>
        <w:spacing w:line="360" w:lineRule="auto"/>
        <w:jc w:val="both"/>
        <w:rPr>
          <w:rFonts w:ascii="Century Gothic" w:cs="Century Gothic" w:eastAsia="Century Gothic" w:hAnsi="Century Gothic"/>
          <w:b w:val="1"/>
          <w:color w:val="002060"/>
          <w:sz w:val="28"/>
          <w:szCs w:val="28"/>
        </w:rPr>
      </w:pPr>
      <w:r w:rsidDel="00000000" w:rsidR="00000000" w:rsidRPr="00000000">
        <w:rPr>
          <w:rFonts w:ascii="Century Gothic" w:cs="Century Gothic" w:eastAsia="Century Gothic" w:hAnsi="Century Gothic"/>
          <w:sz w:val="19"/>
          <w:szCs w:val="19"/>
          <w:rtl w:val="0"/>
        </w:rPr>
        <w:t xml:space="preserve">Así, la tendencia hacia los beneficios digitales se ha convertido en la estrategia de crecimiento e innovación del grupo. En 2020, </w:t>
      </w:r>
      <w:r w:rsidDel="00000000" w:rsidR="00000000" w:rsidRPr="00000000">
        <w:rPr>
          <w:rFonts w:ascii="Century Gothic" w:cs="Century Gothic" w:eastAsia="Century Gothic" w:hAnsi="Century Gothic"/>
          <w:b w:val="1"/>
          <w:sz w:val="19"/>
          <w:szCs w:val="19"/>
          <w:rtl w:val="0"/>
        </w:rPr>
        <w:t xml:space="preserve">el 86% del volumen de negocio era digital</w:t>
      </w:r>
      <w:r w:rsidDel="00000000" w:rsidR="00000000" w:rsidRPr="00000000">
        <w:rPr>
          <w:rFonts w:ascii="Century Gothic" w:cs="Century Gothic" w:eastAsia="Century Gothic" w:hAnsi="Century Gothic"/>
          <w:sz w:val="19"/>
          <w:szCs w:val="19"/>
          <w:rtl w:val="0"/>
        </w:rPr>
        <w:t xml:space="preserve">. Hoy, Edenred ofrece programas de pago móvil en 22 países, y la mayor parte de sus 250 programas y soluciones que cubren necesidades básicas ya no usan papel. La transición está principalmente en los programas de beneficios para los empleados, donde la digitalización creció 9 puntos en Europa en 2020 y busca aumentar su desarrollo en LATAM, donde tienen cerca del 30% del mercado global. </w:t>
      </w:r>
      <w:r w:rsidDel="00000000" w:rsidR="00000000" w:rsidRPr="00000000">
        <w:rPr>
          <w:rtl w:val="0"/>
        </w:rPr>
      </w:r>
    </w:p>
    <w:p w:rsidR="00000000" w:rsidDel="00000000" w:rsidP="00000000" w:rsidRDefault="00000000" w:rsidRPr="00000000" w14:paraId="0000001B">
      <w:pPr>
        <w:spacing w:line="360" w:lineRule="auto"/>
        <w:jc w:val="both"/>
        <w:rPr>
          <w:sz w:val="19"/>
          <w:szCs w:val="19"/>
        </w:rPr>
      </w:pPr>
      <w:r w:rsidDel="00000000" w:rsidR="00000000" w:rsidRPr="00000000">
        <w:rPr>
          <w:rtl w:val="0"/>
        </w:rPr>
      </w:r>
    </w:p>
    <w:p w:rsidR="00000000" w:rsidDel="00000000" w:rsidP="00000000" w:rsidRDefault="00000000" w:rsidRPr="00000000" w14:paraId="0000001C">
      <w:pPr>
        <w:spacing w:after="160" w:line="360" w:lineRule="auto"/>
        <w:rPr>
          <w:rFonts w:ascii="Century Gothic" w:cs="Century Gothic" w:eastAsia="Century Gothic" w:hAnsi="Century Gothic"/>
          <w:color w:val="002060"/>
          <w:sz w:val="16"/>
          <w:szCs w:val="16"/>
        </w:rPr>
      </w:pPr>
      <w:r w:rsidDel="00000000" w:rsidR="00000000" w:rsidRPr="00000000">
        <w:rPr>
          <w:rFonts w:ascii="Century Gothic" w:cs="Century Gothic" w:eastAsia="Century Gothic" w:hAnsi="Century Gothic"/>
          <w:color w:val="002060"/>
          <w:sz w:val="16"/>
          <w:szCs w:val="16"/>
          <w:rtl w:val="0"/>
        </w:rPr>
        <w:t xml:space="preserve">▬▬</w:t>
      </w:r>
    </w:p>
    <w:p w:rsidR="00000000" w:rsidDel="00000000" w:rsidP="00000000" w:rsidRDefault="00000000" w:rsidRPr="00000000" w14:paraId="0000001D">
      <w:pPr>
        <w:spacing w:line="240" w:lineRule="auto"/>
        <w:jc w:val="both"/>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Edenred es la plataforma líder en servicios y pagos, así como el compañero diario de los trabajadores, conectando a más de 50 millones de empleados y 2 millones de comercios asociados en 46 países a través de más de 850,000 clientes corporativos.</w:t>
      </w:r>
    </w:p>
    <w:p w:rsidR="00000000" w:rsidDel="00000000" w:rsidP="00000000" w:rsidRDefault="00000000" w:rsidRPr="00000000" w14:paraId="0000001E">
      <w:pPr>
        <w:spacing w:line="240" w:lineRule="auto"/>
        <w:jc w:val="both"/>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 </w:t>
      </w:r>
    </w:p>
    <w:p w:rsidR="00000000" w:rsidDel="00000000" w:rsidP="00000000" w:rsidRDefault="00000000" w:rsidRPr="00000000" w14:paraId="0000001F">
      <w:pPr>
        <w:spacing w:line="240" w:lineRule="auto"/>
        <w:jc w:val="both"/>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Edenred ofrece soluciones de pago con fines específicos para la alimentación (vales de despensa y restaurante), la  movilidad (tarjetas de combustible, mantenimiento, peaje y soluciones de desplazamiento), los incentivos (tarjetas de regalo, plataformas de lealtad de empleados) y los gastos corporativos (tarjetas virtuales). </w:t>
      </w:r>
    </w:p>
    <w:p w:rsidR="00000000" w:rsidDel="00000000" w:rsidP="00000000" w:rsidRDefault="00000000" w:rsidRPr="00000000" w14:paraId="00000020">
      <w:pPr>
        <w:spacing w:line="240" w:lineRule="auto"/>
        <w:jc w:val="both"/>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 </w:t>
      </w:r>
    </w:p>
    <w:p w:rsidR="00000000" w:rsidDel="00000000" w:rsidP="00000000" w:rsidRDefault="00000000" w:rsidRPr="00000000" w14:paraId="00000021">
      <w:pPr>
        <w:spacing w:line="240" w:lineRule="auto"/>
        <w:jc w:val="both"/>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Fieles al propósito del Grupo: “Enriquecer conexiones. Para bien” estas soluciones mejoran el poder adquisitivo y el bienestar de los usuarios, mejoran el atractivo y la eficiencia de las empresas, revitalizando el mercado laboral y la economía local. También fomentan el acceso a una alimentación más sana, a productos más respetuosos con el medio ambiente y a una movilidad más sencilla.</w:t>
      </w:r>
    </w:p>
    <w:p w:rsidR="00000000" w:rsidDel="00000000" w:rsidP="00000000" w:rsidRDefault="00000000" w:rsidRPr="00000000" w14:paraId="00000022">
      <w:pPr>
        <w:spacing w:line="240" w:lineRule="auto"/>
        <w:jc w:val="both"/>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 </w:t>
      </w:r>
    </w:p>
    <w:p w:rsidR="00000000" w:rsidDel="00000000" w:rsidP="00000000" w:rsidRDefault="00000000" w:rsidRPr="00000000" w14:paraId="00000023">
      <w:pPr>
        <w:spacing w:line="240" w:lineRule="auto"/>
        <w:jc w:val="both"/>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Los 10,000 empleados de Edenred están comprometidos para hacer del mundo un ecosistema conectado que sea más seguro, más eficiente y más responsable cada día.</w:t>
      </w:r>
    </w:p>
    <w:p w:rsidR="00000000" w:rsidDel="00000000" w:rsidP="00000000" w:rsidRDefault="00000000" w:rsidRPr="00000000" w14:paraId="00000024">
      <w:pPr>
        <w:spacing w:line="240" w:lineRule="auto"/>
        <w:jc w:val="both"/>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 </w:t>
      </w:r>
    </w:p>
    <w:p w:rsidR="00000000" w:rsidDel="00000000" w:rsidP="00000000" w:rsidRDefault="00000000" w:rsidRPr="00000000" w14:paraId="00000025">
      <w:pPr>
        <w:spacing w:line="240" w:lineRule="auto"/>
        <w:jc w:val="both"/>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En 2020, gracias a sus activos tecnológicos globales, el Grupo gestionó cerca de €30 mil millones de volumen de negocio, principalmente a través de aplicaciones móviles, plataformas online y tarjetas.</w:t>
      </w:r>
    </w:p>
    <w:p w:rsidR="00000000" w:rsidDel="00000000" w:rsidP="00000000" w:rsidRDefault="00000000" w:rsidRPr="00000000" w14:paraId="00000026">
      <w:pPr>
        <w:spacing w:line="240" w:lineRule="auto"/>
        <w:jc w:val="both"/>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 </w:t>
      </w:r>
    </w:p>
    <w:p w:rsidR="00000000" w:rsidDel="00000000" w:rsidP="00000000" w:rsidRDefault="00000000" w:rsidRPr="00000000" w14:paraId="00000027">
      <w:pPr>
        <w:spacing w:line="240" w:lineRule="auto"/>
        <w:jc w:val="both"/>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Edenred cotiza en la bolsa Euronext de París y está incluida en los siguientes índices CAC Next 20, CAC Large 60, Euronext 100, FTSE4Good y MSCI Europe.</w:t>
      </w:r>
    </w:p>
    <w:p w:rsidR="00000000" w:rsidDel="00000000" w:rsidP="00000000" w:rsidRDefault="00000000" w:rsidRPr="00000000" w14:paraId="00000028">
      <w:pPr>
        <w:spacing w:line="240" w:lineRule="auto"/>
        <w:jc w:val="both"/>
        <w:rPr>
          <w:rFonts w:ascii="Century Gothic" w:cs="Century Gothic" w:eastAsia="Century Gothic" w:hAnsi="Century Gothic"/>
          <w:b w:val="1"/>
          <w:color w:val="162056"/>
          <w:sz w:val="16"/>
          <w:szCs w:val="16"/>
        </w:rPr>
      </w:pPr>
      <w:r w:rsidDel="00000000" w:rsidR="00000000" w:rsidRPr="00000000">
        <w:rPr>
          <w:rFonts w:ascii="Century Gothic" w:cs="Century Gothic" w:eastAsia="Century Gothic" w:hAnsi="Century Gothic"/>
          <w:b w:val="1"/>
          <w:color w:val="162056"/>
          <w:sz w:val="16"/>
          <w:szCs w:val="16"/>
          <w:rtl w:val="0"/>
        </w:rPr>
        <w:t xml:space="preserve"> </w:t>
      </w:r>
    </w:p>
    <w:p w:rsidR="00000000" w:rsidDel="00000000" w:rsidP="00000000" w:rsidRDefault="00000000" w:rsidRPr="00000000" w14:paraId="00000029">
      <w:pPr>
        <w:spacing w:line="240" w:lineRule="auto"/>
        <w:jc w:val="both"/>
        <w:rPr>
          <w:rFonts w:ascii="Century Gothic" w:cs="Century Gothic" w:eastAsia="Century Gothic" w:hAnsi="Century Gothic"/>
          <w:b w:val="1"/>
          <w:color w:val="162056"/>
          <w:sz w:val="16"/>
          <w:szCs w:val="16"/>
        </w:rPr>
      </w:pPr>
      <w:r w:rsidDel="00000000" w:rsidR="00000000" w:rsidRPr="00000000">
        <w:rPr>
          <w:rtl w:val="0"/>
        </w:rPr>
      </w:r>
    </w:p>
    <w:p w:rsidR="00000000" w:rsidDel="00000000" w:rsidP="00000000" w:rsidRDefault="00000000" w:rsidRPr="00000000" w14:paraId="0000002A">
      <w:pPr>
        <w:spacing w:line="240" w:lineRule="auto"/>
        <w:jc w:val="both"/>
        <w:rPr>
          <w:rFonts w:ascii="Century Gothic" w:cs="Century Gothic" w:eastAsia="Century Gothic" w:hAnsi="Century Gothic"/>
          <w:b w:val="1"/>
          <w:color w:val="162056"/>
          <w:sz w:val="16"/>
          <w:szCs w:val="16"/>
        </w:rPr>
      </w:pPr>
      <w:r w:rsidDel="00000000" w:rsidR="00000000" w:rsidRPr="00000000">
        <w:rPr>
          <w:rFonts w:ascii="Century Gothic" w:cs="Century Gothic" w:eastAsia="Century Gothic" w:hAnsi="Century Gothic"/>
          <w:b w:val="1"/>
          <w:color w:val="162056"/>
          <w:sz w:val="16"/>
          <w:szCs w:val="16"/>
          <w:rtl w:val="0"/>
        </w:rPr>
        <w:t xml:space="preserve">Los logotipos y otras marcas comerciales mencionadas y presentadas en este comunicado de prensa son marcas registradas de Edenred S.A., sus filiales o terceros. No pueden utilizarse con fines comerciales sin el consentimiento previo por escrito de sus propietarios.</w:t>
      </w:r>
    </w:p>
    <w:p w:rsidR="00000000" w:rsidDel="00000000" w:rsidP="00000000" w:rsidRDefault="00000000" w:rsidRPr="00000000" w14:paraId="0000002B">
      <w:pPr>
        <w:spacing w:line="240" w:lineRule="auto"/>
        <w:jc w:val="both"/>
        <w:rPr>
          <w:rFonts w:ascii="Century Gothic" w:cs="Century Gothic" w:eastAsia="Century Gothic" w:hAnsi="Century Gothic"/>
          <w:color w:val="002060"/>
          <w:sz w:val="16"/>
          <w:szCs w:val="16"/>
        </w:rPr>
      </w:pPr>
      <w:r w:rsidDel="00000000" w:rsidR="00000000" w:rsidRPr="00000000">
        <w:rPr>
          <w:rtl w:val="0"/>
        </w:rPr>
      </w:r>
    </w:p>
    <w:p w:rsidR="00000000" w:rsidDel="00000000" w:rsidP="00000000" w:rsidRDefault="00000000" w:rsidRPr="00000000" w14:paraId="0000002C">
      <w:pPr>
        <w:spacing w:line="240" w:lineRule="auto"/>
        <w:jc w:val="both"/>
        <w:rPr>
          <w:rFonts w:ascii="Century Gothic" w:cs="Century Gothic" w:eastAsia="Century Gothic" w:hAnsi="Century Gothic"/>
          <w:color w:val="002060"/>
          <w:sz w:val="16"/>
          <w:szCs w:val="16"/>
        </w:rPr>
      </w:pPr>
      <w:r w:rsidDel="00000000" w:rsidR="00000000" w:rsidRPr="00000000">
        <w:rPr>
          <w:rtl w:val="0"/>
        </w:rPr>
      </w:r>
    </w:p>
    <w:p w:rsidR="00000000" w:rsidDel="00000000" w:rsidP="00000000" w:rsidRDefault="00000000" w:rsidRPr="00000000" w14:paraId="0000002D">
      <w:pPr>
        <w:spacing w:line="240" w:lineRule="auto"/>
        <w:jc w:val="both"/>
        <w:rPr>
          <w:rFonts w:ascii="Century Gothic" w:cs="Century Gothic" w:eastAsia="Century Gothic" w:hAnsi="Century Gothic"/>
          <w:color w:val="002060"/>
          <w:sz w:val="16"/>
          <w:szCs w:val="16"/>
        </w:rPr>
      </w:pPr>
      <w:r w:rsidDel="00000000" w:rsidR="00000000" w:rsidRPr="00000000">
        <w:rPr>
          <w:rtl w:val="0"/>
        </w:rPr>
      </w:r>
    </w:p>
    <w:p w:rsidR="00000000" w:rsidDel="00000000" w:rsidP="00000000" w:rsidRDefault="00000000" w:rsidRPr="00000000" w14:paraId="0000002E">
      <w:pPr>
        <w:spacing w:line="240" w:lineRule="auto"/>
        <w:jc w:val="both"/>
        <w:rPr>
          <w:rFonts w:ascii="Century Gothic" w:cs="Century Gothic" w:eastAsia="Century Gothic" w:hAnsi="Century Gothic"/>
          <w:color w:val="002060"/>
          <w:sz w:val="16"/>
          <w:szCs w:val="16"/>
        </w:rPr>
      </w:pPr>
      <w:r w:rsidDel="00000000" w:rsidR="00000000" w:rsidRPr="00000000">
        <w:rPr>
          <w:rtl w:val="0"/>
        </w:rPr>
      </w:r>
    </w:p>
    <w:p w:rsidR="00000000" w:rsidDel="00000000" w:rsidP="00000000" w:rsidRDefault="00000000" w:rsidRPr="00000000" w14:paraId="0000002F">
      <w:pPr>
        <w:spacing w:line="240" w:lineRule="auto"/>
        <w:jc w:val="both"/>
        <w:rPr>
          <w:rFonts w:ascii="Century Gothic" w:cs="Century Gothic" w:eastAsia="Century Gothic" w:hAnsi="Century Gothic"/>
          <w:color w:val="002060"/>
          <w:sz w:val="16"/>
          <w:szCs w:val="16"/>
        </w:rPr>
      </w:pPr>
      <w:r w:rsidDel="00000000" w:rsidR="00000000" w:rsidRPr="00000000">
        <w:rPr>
          <w:rtl w:val="0"/>
        </w:rPr>
      </w:r>
    </w:p>
    <w:p w:rsidR="00000000" w:rsidDel="00000000" w:rsidP="00000000" w:rsidRDefault="00000000" w:rsidRPr="00000000" w14:paraId="00000030">
      <w:pPr>
        <w:spacing w:line="240" w:lineRule="auto"/>
        <w:jc w:val="both"/>
        <w:rPr>
          <w:rFonts w:ascii="Century Gothic" w:cs="Century Gothic" w:eastAsia="Century Gothic" w:hAnsi="Century Gothic"/>
          <w:color w:val="002060"/>
          <w:sz w:val="16"/>
          <w:szCs w:val="16"/>
        </w:rPr>
      </w:pPr>
      <w:r w:rsidDel="00000000" w:rsidR="00000000" w:rsidRPr="00000000">
        <w:rPr>
          <w:rtl w:val="0"/>
        </w:rPr>
      </w:r>
    </w:p>
    <w:p w:rsidR="00000000" w:rsidDel="00000000" w:rsidP="00000000" w:rsidRDefault="00000000" w:rsidRPr="00000000" w14:paraId="00000031">
      <w:pPr>
        <w:spacing w:line="240" w:lineRule="auto"/>
        <w:jc w:val="both"/>
        <w:rPr>
          <w:rFonts w:ascii="Century Gothic" w:cs="Century Gothic" w:eastAsia="Century Gothic" w:hAnsi="Century Gothic"/>
          <w:color w:val="002060"/>
          <w:sz w:val="16"/>
          <w:szCs w:val="16"/>
        </w:rPr>
      </w:pPr>
      <w:r w:rsidDel="00000000" w:rsidR="00000000" w:rsidRPr="00000000">
        <w:rPr>
          <w:rtl w:val="0"/>
        </w:rPr>
      </w:r>
    </w:p>
    <w:p w:rsidR="00000000" w:rsidDel="00000000" w:rsidP="00000000" w:rsidRDefault="00000000" w:rsidRPr="00000000" w14:paraId="00000032">
      <w:pPr>
        <w:spacing w:line="240" w:lineRule="auto"/>
        <w:jc w:val="both"/>
        <w:rPr>
          <w:rFonts w:ascii="Century Gothic" w:cs="Century Gothic" w:eastAsia="Century Gothic" w:hAnsi="Century Gothic"/>
          <w:color w:val="002060"/>
          <w:sz w:val="16"/>
          <w:szCs w:val="16"/>
        </w:rPr>
      </w:pPr>
      <w:r w:rsidDel="00000000" w:rsidR="00000000" w:rsidRPr="00000000">
        <w:rPr>
          <w:rFonts w:ascii="Century Gothic" w:cs="Century Gothic" w:eastAsia="Century Gothic" w:hAnsi="Century Gothic"/>
          <w:color w:val="002060"/>
          <w:sz w:val="16"/>
          <w:szCs w:val="16"/>
          <w:rtl w:val="0"/>
        </w:rPr>
        <w:t xml:space="preserve">▬▬</w:t>
      </w:r>
    </w:p>
    <w:p w:rsidR="00000000" w:rsidDel="00000000" w:rsidP="00000000" w:rsidRDefault="00000000" w:rsidRPr="00000000" w14:paraId="00000033">
      <w:pPr>
        <w:spacing w:line="259" w:lineRule="auto"/>
        <w:jc w:val="both"/>
        <w:rPr>
          <w:rFonts w:ascii="Century Gothic" w:cs="Century Gothic" w:eastAsia="Century Gothic" w:hAnsi="Century Gothic"/>
          <w:color w:val="002060"/>
          <w:sz w:val="16"/>
          <w:szCs w:val="16"/>
        </w:rPr>
      </w:pPr>
      <w:r w:rsidDel="00000000" w:rsidR="00000000" w:rsidRPr="00000000">
        <w:rPr>
          <w:rtl w:val="0"/>
        </w:rPr>
      </w:r>
    </w:p>
    <w:p w:rsidR="00000000" w:rsidDel="00000000" w:rsidP="00000000" w:rsidRDefault="00000000" w:rsidRPr="00000000" w14:paraId="00000034">
      <w:pPr>
        <w:spacing w:line="259" w:lineRule="auto"/>
        <w:rPr>
          <w:rFonts w:ascii="Century Gothic" w:cs="Century Gothic" w:eastAsia="Century Gothic" w:hAnsi="Century Gothic"/>
          <w:b w:val="1"/>
          <w:color w:val="162056"/>
          <w:sz w:val="16"/>
          <w:szCs w:val="16"/>
        </w:rPr>
      </w:pPr>
      <w:r w:rsidDel="00000000" w:rsidR="00000000" w:rsidRPr="00000000">
        <w:rPr>
          <w:rFonts w:ascii="Century Gothic" w:cs="Century Gothic" w:eastAsia="Century Gothic" w:hAnsi="Century Gothic"/>
          <w:b w:val="1"/>
          <w:color w:val="162056"/>
          <w:sz w:val="16"/>
          <w:szCs w:val="16"/>
          <w:rtl w:val="0"/>
        </w:rPr>
        <w:t xml:space="preserve">CONTACTOS</w:t>
      </w:r>
    </w:p>
    <w:p w:rsidR="00000000" w:rsidDel="00000000" w:rsidP="00000000" w:rsidRDefault="00000000" w:rsidRPr="00000000" w14:paraId="00000035">
      <w:pPr>
        <w:spacing w:line="259" w:lineRule="auto"/>
        <w:rPr>
          <w:rFonts w:ascii="Century Gothic" w:cs="Century Gothic" w:eastAsia="Century Gothic" w:hAnsi="Century Gothic"/>
          <w:b w:val="1"/>
          <w:color w:val="162056"/>
          <w:sz w:val="16"/>
          <w:szCs w:val="16"/>
        </w:rPr>
      </w:pPr>
      <w:r w:rsidDel="00000000" w:rsidR="00000000" w:rsidRPr="00000000">
        <w:rPr>
          <w:rtl w:val="0"/>
        </w:rPr>
      </w:r>
    </w:p>
    <w:tbl>
      <w:tblPr>
        <w:tblStyle w:val="Table1"/>
        <w:tblW w:w="901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36">
            <w:pPr>
              <w:spacing w:line="259" w:lineRule="auto"/>
              <w:rPr>
                <w:rFonts w:ascii="Century Gothic" w:cs="Century Gothic" w:eastAsia="Century Gothic" w:hAnsi="Century Gothic"/>
                <w:b w:val="1"/>
                <w:color w:val="11204c"/>
                <w:sz w:val="16"/>
                <w:szCs w:val="16"/>
              </w:rPr>
            </w:pPr>
            <w:r w:rsidDel="00000000" w:rsidR="00000000" w:rsidRPr="00000000">
              <w:rPr>
                <w:rFonts w:ascii="Century Gothic" w:cs="Century Gothic" w:eastAsia="Century Gothic" w:hAnsi="Century Gothic"/>
                <w:b w:val="1"/>
                <w:color w:val="11204c"/>
                <w:sz w:val="16"/>
                <w:szCs w:val="16"/>
                <w:rtl w:val="0"/>
              </w:rPr>
              <w:t xml:space="preserve">Director de Estrategia &amp; Marketing</w:t>
            </w:r>
          </w:p>
          <w:p w:rsidR="00000000" w:rsidDel="00000000" w:rsidP="00000000" w:rsidRDefault="00000000" w:rsidRPr="00000000" w14:paraId="00000037">
            <w:pPr>
              <w:spacing w:line="259" w:lineRule="auto"/>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Santiago Gómez</w:t>
            </w:r>
          </w:p>
          <w:p w:rsidR="00000000" w:rsidDel="00000000" w:rsidP="00000000" w:rsidRDefault="00000000" w:rsidRPr="00000000" w14:paraId="00000038">
            <w:pPr>
              <w:spacing w:line="259" w:lineRule="auto"/>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+52 (55) 3339 1481</w:t>
            </w:r>
          </w:p>
          <w:p w:rsidR="00000000" w:rsidDel="00000000" w:rsidP="00000000" w:rsidRDefault="00000000" w:rsidRPr="00000000" w14:paraId="00000039">
            <w:pPr>
              <w:spacing w:line="259" w:lineRule="auto"/>
              <w:rPr>
                <w:rFonts w:ascii="Century Gothic" w:cs="Century Gothic" w:eastAsia="Century Gothic" w:hAnsi="Century Gothic"/>
                <w:color w:val="162056"/>
                <w:sz w:val="16"/>
                <w:szCs w:val="16"/>
              </w:rPr>
            </w:pPr>
            <w:hyperlink r:id="rId6">
              <w:r w:rsidDel="00000000" w:rsidR="00000000" w:rsidRPr="00000000">
                <w:rPr>
                  <w:rFonts w:ascii="Century Gothic" w:cs="Century Gothic" w:eastAsia="Century Gothic" w:hAnsi="Century Gothic"/>
                  <w:color w:val="0563c1"/>
                  <w:sz w:val="16"/>
                  <w:szCs w:val="16"/>
                  <w:u w:val="single"/>
                  <w:rtl w:val="0"/>
                </w:rPr>
                <w:t xml:space="preserve">santiago.gomez@edenred.com</w:t>
              </w:r>
            </w:hyperlink>
            <w:r w:rsidDel="00000000" w:rsidR="00000000" w:rsidRPr="00000000">
              <w:rPr>
                <w:rFonts w:ascii="Century Gothic" w:cs="Century Gothic" w:eastAsia="Century Gothic" w:hAnsi="Century Gothic"/>
                <w:color w:val="162056"/>
                <w:sz w:val="16"/>
                <w:szCs w:val="16"/>
                <w:rtl w:val="0"/>
              </w:rPr>
              <w:t xml:space="preserve"> </w:t>
            </w:r>
          </w:p>
        </w:tc>
        <w:tc>
          <w:tcPr/>
          <w:p w:rsidR="00000000" w:rsidDel="00000000" w:rsidP="00000000" w:rsidRDefault="00000000" w:rsidRPr="00000000" w14:paraId="0000003A">
            <w:pPr>
              <w:spacing w:line="259" w:lineRule="auto"/>
              <w:rPr>
                <w:rFonts w:ascii="Century Gothic" w:cs="Century Gothic" w:eastAsia="Century Gothic" w:hAnsi="Century Gothic"/>
                <w:b w:val="1"/>
                <w:color w:val="162056"/>
                <w:sz w:val="16"/>
                <w:szCs w:val="16"/>
              </w:rPr>
            </w:pPr>
            <w:r w:rsidDel="00000000" w:rsidR="00000000" w:rsidRPr="00000000">
              <w:rPr>
                <w:rFonts w:ascii="Century Gothic" w:cs="Century Gothic" w:eastAsia="Century Gothic" w:hAnsi="Century Gothic"/>
                <w:b w:val="1"/>
                <w:color w:val="162056"/>
                <w:sz w:val="16"/>
                <w:szCs w:val="16"/>
                <w:rtl w:val="0"/>
              </w:rPr>
              <w:t xml:space="preserve">Marketing Communication &amp; PR Manager</w:t>
            </w:r>
          </w:p>
          <w:p w:rsidR="00000000" w:rsidDel="00000000" w:rsidP="00000000" w:rsidRDefault="00000000" w:rsidRPr="00000000" w14:paraId="0000003B">
            <w:pPr>
              <w:spacing w:line="259" w:lineRule="auto"/>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Victoria Balboa</w:t>
            </w:r>
          </w:p>
          <w:p w:rsidR="00000000" w:rsidDel="00000000" w:rsidP="00000000" w:rsidRDefault="00000000" w:rsidRPr="00000000" w14:paraId="0000003C">
            <w:pPr>
              <w:spacing w:line="259" w:lineRule="auto"/>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+52 (55) 3555 8287</w:t>
            </w:r>
          </w:p>
          <w:p w:rsidR="00000000" w:rsidDel="00000000" w:rsidP="00000000" w:rsidRDefault="00000000" w:rsidRPr="00000000" w14:paraId="0000003D">
            <w:pPr>
              <w:spacing w:line="259" w:lineRule="auto"/>
              <w:rPr>
                <w:rFonts w:ascii="Century Gothic" w:cs="Century Gothic" w:eastAsia="Century Gothic" w:hAnsi="Century Gothic"/>
                <w:color w:val="162056"/>
                <w:sz w:val="16"/>
                <w:szCs w:val="16"/>
              </w:rPr>
            </w:pPr>
            <w:hyperlink r:id="rId7">
              <w:r w:rsidDel="00000000" w:rsidR="00000000" w:rsidRPr="00000000">
                <w:rPr>
                  <w:rFonts w:ascii="Century Gothic" w:cs="Century Gothic" w:eastAsia="Century Gothic" w:hAnsi="Century Gothic"/>
                  <w:color w:val="0563c1"/>
                  <w:sz w:val="16"/>
                  <w:szCs w:val="16"/>
                  <w:u w:val="single"/>
                  <w:rtl w:val="0"/>
                </w:rPr>
                <w:t xml:space="preserve">victoria.balboa@edenred.com</w:t>
              </w:r>
            </w:hyperlink>
            <w:r w:rsidDel="00000000" w:rsidR="00000000" w:rsidRPr="00000000">
              <w:rPr>
                <w:rtl w:val="0"/>
              </w:rPr>
            </w:r>
          </w:p>
        </w:tc>
      </w:tr>
      <w:tr>
        <w:trPr>
          <w:cantSplit w:val="0"/>
          <w:tblHeader w:val="0"/>
        </w:trPr>
        <w:tc>
          <w:tcPr/>
          <w:p w:rsidR="00000000" w:rsidDel="00000000" w:rsidP="00000000" w:rsidRDefault="00000000" w:rsidRPr="00000000" w14:paraId="0000003E">
            <w:pPr>
              <w:spacing w:line="259" w:lineRule="auto"/>
              <w:rPr>
                <w:rFonts w:ascii="Century Gothic" w:cs="Century Gothic" w:eastAsia="Century Gothic" w:hAnsi="Century Gothic"/>
                <w:b w:val="1"/>
                <w:color w:val="11204c"/>
                <w:sz w:val="16"/>
                <w:szCs w:val="16"/>
              </w:rPr>
            </w:pPr>
            <w:r w:rsidDel="00000000" w:rsidR="00000000" w:rsidRPr="00000000">
              <w:rPr>
                <w:rtl w:val="0"/>
              </w:rPr>
            </w:r>
          </w:p>
          <w:p w:rsidR="00000000" w:rsidDel="00000000" w:rsidP="00000000" w:rsidRDefault="00000000" w:rsidRPr="00000000" w14:paraId="0000003F">
            <w:pPr>
              <w:spacing w:line="259" w:lineRule="auto"/>
              <w:rPr>
                <w:rFonts w:ascii="Century Gothic" w:cs="Century Gothic" w:eastAsia="Century Gothic" w:hAnsi="Century Gothic"/>
                <w:b w:val="1"/>
                <w:color w:val="11204c"/>
                <w:sz w:val="16"/>
                <w:szCs w:val="16"/>
              </w:rPr>
            </w:pPr>
            <w:r w:rsidDel="00000000" w:rsidR="00000000" w:rsidRPr="00000000">
              <w:rPr>
                <w:rFonts w:ascii="Century Gothic" w:cs="Century Gothic" w:eastAsia="Century Gothic" w:hAnsi="Century Gothic"/>
                <w:b w:val="1"/>
                <w:color w:val="11204c"/>
                <w:sz w:val="16"/>
                <w:szCs w:val="16"/>
                <w:rtl w:val="0"/>
              </w:rPr>
              <w:t xml:space="preserve">Relaciones con prensa: another</w:t>
            </w:r>
          </w:p>
          <w:p w:rsidR="00000000" w:rsidDel="00000000" w:rsidP="00000000" w:rsidRDefault="00000000" w:rsidRPr="00000000" w14:paraId="00000040">
            <w:pPr>
              <w:spacing w:line="259" w:lineRule="auto"/>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Ernesto Pacheco</w:t>
            </w:r>
          </w:p>
          <w:p w:rsidR="00000000" w:rsidDel="00000000" w:rsidP="00000000" w:rsidRDefault="00000000" w:rsidRPr="00000000" w14:paraId="00000041">
            <w:pPr>
              <w:spacing w:line="259" w:lineRule="auto"/>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+52 (55) 5213 5035</w:t>
            </w:r>
          </w:p>
          <w:p w:rsidR="00000000" w:rsidDel="00000000" w:rsidP="00000000" w:rsidRDefault="00000000" w:rsidRPr="00000000" w14:paraId="00000042">
            <w:pPr>
              <w:spacing w:line="259" w:lineRule="auto"/>
              <w:rPr>
                <w:rFonts w:ascii="Century Gothic" w:cs="Century Gothic" w:eastAsia="Century Gothic" w:hAnsi="Century Gothic"/>
                <w:color w:val="11204c"/>
                <w:sz w:val="16"/>
                <w:szCs w:val="16"/>
              </w:rPr>
            </w:pPr>
            <w:hyperlink r:id="rId8">
              <w:r w:rsidDel="00000000" w:rsidR="00000000" w:rsidRPr="00000000">
                <w:rPr>
                  <w:rFonts w:ascii="Century Gothic" w:cs="Century Gothic" w:eastAsia="Century Gothic" w:hAnsi="Century Gothic"/>
                  <w:color w:val="0563c1"/>
                  <w:sz w:val="16"/>
                  <w:szCs w:val="16"/>
                  <w:u w:val="single"/>
                  <w:rtl w:val="0"/>
                </w:rPr>
                <w:t xml:space="preserve">ernesto.pacheco@another.co</w:t>
              </w:r>
            </w:hyperlink>
            <w:r w:rsidDel="00000000" w:rsidR="00000000" w:rsidRPr="00000000">
              <w:rPr>
                <w:rtl w:val="0"/>
              </w:rPr>
            </w:r>
          </w:p>
        </w:tc>
        <w:tc>
          <w:tcPr/>
          <w:p w:rsidR="00000000" w:rsidDel="00000000" w:rsidP="00000000" w:rsidRDefault="00000000" w:rsidRPr="00000000" w14:paraId="00000043">
            <w:pPr>
              <w:spacing w:line="259" w:lineRule="auto"/>
              <w:rPr>
                <w:rFonts w:ascii="Century Gothic" w:cs="Century Gothic" w:eastAsia="Century Gothic" w:hAnsi="Century Gothic"/>
                <w:color w:val="162056"/>
                <w:sz w:val="16"/>
                <w:szCs w:val="16"/>
              </w:rPr>
            </w:pPr>
            <w:r w:rsidDel="00000000" w:rsidR="00000000" w:rsidRPr="00000000">
              <w:rPr>
                <w:rtl w:val="0"/>
              </w:rPr>
            </w:r>
          </w:p>
          <w:p w:rsidR="00000000" w:rsidDel="00000000" w:rsidP="00000000" w:rsidRDefault="00000000" w:rsidRPr="00000000" w14:paraId="00000044">
            <w:pPr>
              <w:spacing w:line="259" w:lineRule="auto"/>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 </w:t>
            </w:r>
          </w:p>
        </w:tc>
      </w:tr>
    </w:tbl>
    <w:p w:rsidR="00000000" w:rsidDel="00000000" w:rsidP="00000000" w:rsidRDefault="00000000" w:rsidRPr="00000000" w14:paraId="00000045">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46">
      <w:pPr>
        <w:ind w:left="0" w:firstLine="0"/>
        <w:jc w:val="both"/>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ageBreakBefore w:val="0"/>
      <w:jc w:val="right"/>
      <w:rPr/>
    </w:pPr>
    <w:r w:rsidDel="00000000" w:rsidR="00000000" w:rsidRPr="00000000">
      <w:rPr/>
      <w:drawing>
        <wp:inline distB="114300" distT="114300" distL="114300" distR="114300">
          <wp:extent cx="1008351" cy="6524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8351" cy="6524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santiago.gomez@edenred.com" TargetMode="External"/><Relationship Id="rId7" Type="http://schemas.openxmlformats.org/officeDocument/2006/relationships/hyperlink" Target="mailto:victoria.balboa@edenred.com" TargetMode="External"/><Relationship Id="rId8" Type="http://schemas.openxmlformats.org/officeDocument/2006/relationships/hyperlink" Target="mailto:ernesto.pacheco@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